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360" w:lineRule="auto"/>
        <w:ind w:left="0" w:leftChars="0" w:right="1014" w:rightChars="300" w:firstLine="0" w:firstLineChars="0"/>
        <w:jc w:val="both"/>
        <w:rPr>
          <w:rFonts w:hint="default" w:ascii="仿宋" w:hAnsi="仿宋" w:eastAsia="仿宋" w:cs="仿宋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黑体" w:hAnsi="黑体" w:eastAsia="黑体" w:cs="Times New Roman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开幕式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日程</w:t>
      </w:r>
    </w:p>
    <w:p>
      <w:pPr>
        <w:keepNext/>
        <w:keepLines/>
        <w:outlineLvl w:val="1"/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 w:bidi="ar-SA"/>
        </w:rPr>
      </w:pPr>
    </w:p>
    <w:p>
      <w:pPr>
        <w:adjustRightInd w:val="0"/>
        <w:snapToGrid w:val="0"/>
        <w:spacing w:line="240" w:lineRule="auto"/>
        <w:ind w:firstLine="0" w:firstLineChars="0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时间：2024年6月6日 上午 08:30-12:00</w:t>
      </w:r>
    </w:p>
    <w:p>
      <w:pPr>
        <w:adjustRightInd w:val="0"/>
        <w:snapToGrid w:val="0"/>
        <w:spacing w:line="240" w:lineRule="auto"/>
        <w:ind w:firstLine="0" w:firstLineChars="0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地点：安徽省合肥市香格里拉二层宴会厅</w:t>
      </w:r>
    </w:p>
    <w:p>
      <w:pPr>
        <w:adjustRightInd w:val="0"/>
        <w:snapToGrid w:val="0"/>
        <w:spacing w:line="240" w:lineRule="auto"/>
        <w:ind w:firstLine="0" w:firstLineChars="0"/>
        <w:jc w:val="left"/>
        <w:rPr>
          <w:rFonts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kern w:val="0"/>
          <w:sz w:val="28"/>
          <w:szCs w:val="28"/>
        </w:rPr>
        <w:t>主持人：中国电子学会副理事长兼秘书长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 xml:space="preserve"> 陈英</w:t>
      </w:r>
    </w:p>
    <w:tbl>
      <w:tblPr>
        <w:tblStyle w:val="4"/>
        <w:tblW w:w="9536" w:type="dxa"/>
        <w:tblInd w:w="-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4257"/>
        <w:gridCol w:w="3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6" w:type="dxa"/>
            <w:shd w:val="clear" w:color="auto" w:fill="00B05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</w:rPr>
              <w:t>报告时间</w:t>
            </w:r>
          </w:p>
        </w:tc>
        <w:tc>
          <w:tcPr>
            <w:tcW w:w="4257" w:type="dxa"/>
            <w:shd w:val="clear" w:color="auto" w:fill="00B05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</w:rPr>
              <w:t>报告内容</w:t>
            </w:r>
          </w:p>
        </w:tc>
        <w:tc>
          <w:tcPr>
            <w:tcW w:w="3453" w:type="dxa"/>
            <w:shd w:val="clear" w:color="auto" w:fill="00B05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</w:rPr>
              <w:t>报告人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08:30-09:00</w:t>
            </w:r>
          </w:p>
        </w:tc>
        <w:tc>
          <w:tcPr>
            <w:tcW w:w="7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巡展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09:00-09: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09: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0-09: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发布2023年度国家绿色数据中心名单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09: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5-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视频展示国家绿色数据中心建设成效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智算中心网络建设及与电力网协同调度等方面做主题报告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1"/>
              </w:rPr>
              <w:t>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安全智能绿色精益的数据中心发展之路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1"/>
              </w:rPr>
              <w:t>侯劲松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国网安徽省电力有限公司 总经理、党委副书记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发展绿色算力网络，打造高质量绿色新基建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  <w:t>李  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  <w:t>中国移动通信集团有限公司计划建设部副总经理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星星之火，可以燎原——润泽科技对智算中心绿色发展的探索与实践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1"/>
              </w:rPr>
              <w:t>祝  敬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润泽科技发展有限公司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 xml:space="preserve">常务副总裁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聚力智算生态，打造零碳液冷数据中心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1"/>
              </w:rPr>
              <w:t>丁俊峰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超聚变数字技术有限公司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总监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</w:p>
    <w:p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t>注：最终日程，以现场安排为准。</w:t>
      </w:r>
    </w:p>
    <w:p>
      <w:pP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</w:rPr>
        <w:br w:type="page"/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专题活动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日程</w:t>
      </w:r>
    </w:p>
    <w:p>
      <w:pPr>
        <w:adjustRightInd w:val="0"/>
        <w:snapToGrid w:val="0"/>
        <w:ind w:left="0" w:leftChars="0" w:firstLine="0" w:firstLineChars="0"/>
        <w:rPr>
          <w:rFonts w:eastAsia="仿宋" w:cs="Times New Roman"/>
          <w:bCs/>
          <w:sz w:val="28"/>
          <w:szCs w:val="28"/>
        </w:rPr>
      </w:pPr>
      <w:r>
        <w:rPr>
          <w:rFonts w:eastAsia="仿宋" w:cs="Times New Roman"/>
          <w:bCs/>
          <w:sz w:val="28"/>
          <w:szCs w:val="28"/>
        </w:rPr>
        <w:t>时间：202</w:t>
      </w:r>
      <w:r>
        <w:rPr>
          <w:rFonts w:hint="eastAsia" w:eastAsia="仿宋" w:cs="Times New Roman"/>
          <w:bCs/>
          <w:sz w:val="28"/>
          <w:szCs w:val="28"/>
        </w:rPr>
        <w:t>4</w:t>
      </w:r>
      <w:r>
        <w:rPr>
          <w:rFonts w:eastAsia="仿宋" w:cs="Times New Roman"/>
          <w:bCs/>
          <w:sz w:val="28"/>
          <w:szCs w:val="28"/>
        </w:rPr>
        <w:t>年</w:t>
      </w:r>
      <w:r>
        <w:rPr>
          <w:rFonts w:hint="eastAsia" w:eastAsia="仿宋" w:cs="Times New Roman"/>
          <w:bCs/>
          <w:sz w:val="28"/>
          <w:szCs w:val="28"/>
        </w:rPr>
        <w:t>6</w:t>
      </w:r>
      <w:r>
        <w:rPr>
          <w:rFonts w:eastAsia="仿宋" w:cs="Times New Roman"/>
          <w:bCs/>
          <w:sz w:val="28"/>
          <w:szCs w:val="28"/>
        </w:rPr>
        <w:t>月</w:t>
      </w:r>
      <w:r>
        <w:rPr>
          <w:rFonts w:hint="eastAsia" w:eastAsia="仿宋" w:cs="Times New Roman"/>
          <w:bCs/>
          <w:sz w:val="28"/>
          <w:szCs w:val="28"/>
        </w:rPr>
        <w:t>6</w:t>
      </w:r>
      <w:r>
        <w:rPr>
          <w:rFonts w:eastAsia="仿宋" w:cs="Times New Roman"/>
          <w:bCs/>
          <w:sz w:val="28"/>
          <w:szCs w:val="28"/>
        </w:rPr>
        <w:t xml:space="preserve">日 </w:t>
      </w:r>
      <w:r>
        <w:rPr>
          <w:rFonts w:hint="eastAsia" w:eastAsia="仿宋" w:cs="Times New Roman"/>
          <w:bCs/>
          <w:sz w:val="28"/>
          <w:szCs w:val="28"/>
        </w:rPr>
        <w:t>下午</w:t>
      </w:r>
      <w:r>
        <w:rPr>
          <w:rFonts w:eastAsia="仿宋" w:cs="Times New Roman"/>
          <w:bCs/>
          <w:sz w:val="28"/>
          <w:szCs w:val="28"/>
        </w:rPr>
        <w:t xml:space="preserve"> 13:</w:t>
      </w:r>
      <w:r>
        <w:rPr>
          <w:rFonts w:hint="eastAsia" w:eastAsia="仿宋" w:cs="Times New Roman"/>
          <w:bCs/>
          <w:sz w:val="28"/>
          <w:szCs w:val="28"/>
        </w:rPr>
        <w:t>30</w:t>
      </w:r>
      <w:r>
        <w:rPr>
          <w:rFonts w:eastAsia="仿宋" w:cs="Times New Roman"/>
          <w:bCs/>
          <w:sz w:val="28"/>
          <w:szCs w:val="28"/>
        </w:rPr>
        <w:t>-1</w:t>
      </w:r>
      <w:r>
        <w:rPr>
          <w:rFonts w:hint="eastAsia" w:eastAsia="仿宋" w:cs="Times New Roman"/>
          <w:bCs/>
          <w:sz w:val="28"/>
          <w:szCs w:val="28"/>
        </w:rPr>
        <w:t>7</w:t>
      </w:r>
      <w:r>
        <w:rPr>
          <w:rFonts w:eastAsia="仿宋" w:cs="Times New Roman"/>
          <w:bCs/>
          <w:sz w:val="28"/>
          <w:szCs w:val="28"/>
        </w:rPr>
        <w:t>:00</w:t>
      </w:r>
    </w:p>
    <w:p>
      <w:pPr>
        <w:adjustRightInd w:val="0"/>
        <w:snapToGrid w:val="0"/>
        <w:spacing w:line="240" w:lineRule="auto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eastAsia="仿宋" w:cs="Times New Roman"/>
          <w:bCs/>
          <w:sz w:val="28"/>
          <w:szCs w:val="28"/>
        </w:rPr>
        <w:t>地点：</w:t>
      </w:r>
      <w:r>
        <w:rPr>
          <w:rFonts w:hint="eastAsia" w:eastAsia="仿宋" w:cs="Times New Roman"/>
          <w:bCs/>
          <w:sz w:val="28"/>
          <w:szCs w:val="28"/>
        </w:rPr>
        <w:t>安徽省合肥市香格里拉二层</w:t>
      </w:r>
    </w:p>
    <w:tbl>
      <w:tblPr>
        <w:tblStyle w:val="4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6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3" w:type="dxa"/>
            <w:shd w:val="clear" w:color="auto" w:fill="00B05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FFFF"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  <w:lang w:val="en-US" w:eastAsia="zh-CN"/>
              </w:rPr>
              <w:t>专题活动名称</w:t>
            </w:r>
          </w:p>
        </w:tc>
        <w:tc>
          <w:tcPr>
            <w:tcW w:w="6863" w:type="dxa"/>
            <w:shd w:val="clear" w:color="auto" w:fill="00B05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FFFF"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FFFF"/>
                <w:kern w:val="2"/>
                <w:sz w:val="28"/>
                <w:szCs w:val="22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31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智算绿色发展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val="en-US" w:eastAsia="zh-CN"/>
              </w:rPr>
              <w:t>专题活动</w:t>
            </w:r>
          </w:p>
        </w:tc>
        <w:tc>
          <w:tcPr>
            <w:tcW w:w="68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发布并推广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《国家工业和信息化领域节能降碳技术装备推荐目录（2024年版）》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信息化领域节能降碳技术，包括数据中心节能降碳技术，通信基站、机房节能降碳技术等。探讨能效算法、数据中心的可持续运营。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31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数据中心绿色化改造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val="en-US" w:eastAsia="zh-CN"/>
              </w:rPr>
              <w:t>专题活动</w:t>
            </w:r>
          </w:p>
        </w:tc>
        <w:tc>
          <w:tcPr>
            <w:tcW w:w="68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宣贯节能诊断方法，分享数据中心节能改造方面的成功经验与适用技术，推动行业内节能技术和服务模式的创新与发展。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1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液冷技术高质量发展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val="en-US" w:eastAsia="zh-CN"/>
              </w:rPr>
              <w:t>专题活动</w:t>
            </w:r>
          </w:p>
        </w:tc>
        <w:tc>
          <w:tcPr>
            <w:tcW w:w="6863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</w:rPr>
              <w:t>充分发挥标准引领作用，助力液冷数据中心生态发展，扩大液冷技术应用，促进数据中心绿色转型。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5" w:left="1588" w:header="851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79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6"/>
      </w:pPr>
      <w:r>
        <w:separator/>
      </w:r>
    </w:p>
  </w:endnote>
  <w:endnote w:type="continuationSeparator" w:id="1">
    <w:p>
      <w:pPr>
        <w:spacing w:line="240" w:lineRule="auto"/>
        <w:ind w:firstLine="67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6"/>
      </w:pPr>
      <w:r>
        <w:separator/>
      </w:r>
    </w:p>
  </w:footnote>
  <w:footnote w:type="continuationSeparator" w:id="1">
    <w:p>
      <w:pPr>
        <w:spacing w:line="240" w:lineRule="auto"/>
        <w:ind w:firstLine="67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473F6AE2"/>
    <w:rsid w:val="14480A1C"/>
    <w:rsid w:val="414F138B"/>
    <w:rsid w:val="473F6AE2"/>
    <w:rsid w:val="56B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ind w:firstLine="200" w:firstLineChars="20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2024-05-13T05:28:00Z</dcterms:created>
  <dc:creator>XL</dc:creator>
  <cp:lastModifiedBy>XL</cp:lastModifiedBy>
  <cp:lastPrinted>2024-05-13T05:33:00Z</cp:lastPrinted>
  <dcterms:modified xsi:type="dcterms:W3CDTF">2024-05-14T05:57:32Z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C47459889BBB42FB9DC2A3C266F34B9B_13</vt:lpwstr>
  </property>
</Properties>
</file>